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bookmarkStart w:id="0" w:name="_GoBack"/>
      <w:bookmarkEnd w:id="0"/>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20DD"/>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CD39-0ED5-45DE-9087-4270EB01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笹原有希</dc:creator>
  <cp:lastModifiedBy>笹原有希</cp:lastModifiedBy>
  <cp:revision>2</cp:revision>
  <dcterms:created xsi:type="dcterms:W3CDTF">2021-03-23T01:06:00Z</dcterms:created>
  <dcterms:modified xsi:type="dcterms:W3CDTF">2021-03-23T01:06:00Z</dcterms:modified>
</cp:coreProperties>
</file>